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376"/>
      </w:tblGrid>
      <w:tr w:rsidR="008D7459" w:rsidTr="008D7459">
        <w:tc>
          <w:tcPr>
            <w:tcW w:w="0" w:type="auto"/>
            <w:vAlign w:val="center"/>
            <w:hideMark/>
          </w:tcPr>
          <w:tbl>
            <w:tblPr>
              <w:tblW w:w="5000" w:type="pct"/>
              <w:jc w:val="center"/>
              <w:shd w:val="clear" w:color="auto" w:fill="294B93"/>
              <w:tblCellMar>
                <w:left w:w="0" w:type="dxa"/>
                <w:right w:w="0" w:type="dxa"/>
              </w:tblCellMar>
              <w:tblLook w:val="04A0" w:firstRow="1" w:lastRow="0" w:firstColumn="1" w:lastColumn="0" w:noHBand="0" w:noVBand="1"/>
            </w:tblPr>
            <w:tblGrid>
              <w:gridCol w:w="11376"/>
            </w:tblGrid>
            <w:tr w:rsidR="008D7459">
              <w:trPr>
                <w:jc w:val="center"/>
              </w:trPr>
              <w:tc>
                <w:tcPr>
                  <w:tcW w:w="0" w:type="auto"/>
                  <w:shd w:val="clear" w:color="auto" w:fill="294B93"/>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8D7459">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8D7459">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8D7459">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8D7459">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8D7459">
                                            <w:tc>
                                              <w:tcPr>
                                                <w:tcW w:w="0" w:type="auto"/>
                                                <w:tcMar>
                                                  <w:top w:w="150" w:type="dxa"/>
                                                  <w:left w:w="300" w:type="dxa"/>
                                                  <w:bottom w:w="150" w:type="dxa"/>
                                                  <w:right w:w="300" w:type="dxa"/>
                                                </w:tcMar>
                                                <w:hideMark/>
                                              </w:tcPr>
                                              <w:p w:rsidR="008D7459" w:rsidRDefault="008D7459">
                                                <w:pPr>
                                                  <w:jc w:val="center"/>
                                                  <w:rPr>
                                                    <w:rFonts w:ascii="Arial" w:eastAsia="Times New Roman" w:hAnsi="Arial" w:cs="Arial"/>
                                                    <w:color w:val="FFFFFF"/>
                                                    <w:sz w:val="18"/>
                                                    <w:szCs w:val="18"/>
                                                  </w:rPr>
                                                </w:pPr>
                                                <w:bookmarkStart w:id="0" w:name="_GoBack"/>
                                                <w:r>
                                                  <w:rPr>
                                                    <w:rFonts w:ascii="Arial" w:eastAsia="Times New Roman" w:hAnsi="Arial" w:cs="Arial"/>
                                                    <w:color w:val="FFFFFF"/>
                                                    <w:sz w:val="18"/>
                                                    <w:szCs w:val="18"/>
                                                  </w:rPr>
                                                  <w:t>December 27, 2020</w:t>
                                                </w:r>
                                                <w:bookmarkEnd w:id="0"/>
                                              </w:p>
                                            </w:tc>
                                          </w:tr>
                                        </w:tbl>
                                        <w:p w:rsidR="008D7459" w:rsidRDefault="008D7459">
                                          <w:pPr>
                                            <w:rPr>
                                              <w:rFonts w:eastAsia="Times New Roman"/>
                                              <w:sz w:val="20"/>
                                              <w:szCs w:val="20"/>
                                            </w:rPr>
                                          </w:pPr>
                                        </w:p>
                                      </w:tc>
                                    </w:tr>
                                  </w:tbl>
                                  <w:p w:rsidR="008D7459" w:rsidRDefault="008D745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D745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D7459">
                                            <w:tc>
                                              <w:tcPr>
                                                <w:tcW w:w="0" w:type="auto"/>
                                                <w:tcMar>
                                                  <w:top w:w="150" w:type="dxa"/>
                                                  <w:left w:w="0" w:type="dxa"/>
                                                  <w:bottom w:w="150" w:type="dxa"/>
                                                  <w:right w:w="0" w:type="dxa"/>
                                                </w:tcMar>
                                                <w:hideMark/>
                                              </w:tcPr>
                                              <w:p w:rsidR="008D7459" w:rsidRDefault="008D7459">
                                                <w:pPr>
                                                  <w:jc w:val="center"/>
                                                  <w:rPr>
                                                    <w:rFonts w:eastAsia="Times New Roman"/>
                                                  </w:rPr>
                                                </w:pPr>
                                                <w:r>
                                                  <w:rPr>
                                                    <w:rFonts w:eastAsia="Times New Roman"/>
                                                    <w:noProof/>
                                                  </w:rPr>
                                                  <w:drawing>
                                                    <wp:inline distT="0" distB="0" distL="0" distR="0">
                                                      <wp:extent cx="1219200" cy="1581150"/>
                                                      <wp:effectExtent l="0" t="0" r="0" b="0"/>
                                                      <wp:docPr id="1" name="Picture 1"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8D7459" w:rsidRDefault="008D7459">
                                          <w:pPr>
                                            <w:rPr>
                                              <w:rFonts w:eastAsia="Times New Roman"/>
                                              <w:sz w:val="20"/>
                                              <w:szCs w:val="20"/>
                                            </w:rPr>
                                          </w:pPr>
                                        </w:p>
                                      </w:tc>
                                    </w:tr>
                                  </w:tbl>
                                  <w:p w:rsidR="008D7459" w:rsidRDefault="008D745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D745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D7459" w:rsidTr="008D7459">
                                            <w:trPr>
                                              <w:trHeight w:val="13629"/>
                                            </w:trPr>
                                            <w:tc>
                                              <w:tcPr>
                                                <w:tcW w:w="0" w:type="auto"/>
                                                <w:tcMar>
                                                  <w:top w:w="150" w:type="dxa"/>
                                                  <w:left w:w="300" w:type="dxa"/>
                                                  <w:bottom w:w="150" w:type="dxa"/>
                                                  <w:right w:w="300" w:type="dxa"/>
                                                </w:tcMar>
                                              </w:tcPr>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Dear Fellow Rural Caucus Members (and Allies),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I hope you are enjoying a happy, healthy, heartwarming and delicious weekend. My family joins me in sending you and yours our warmest wishes. And, with any luck, you’ve gotten plenty of rest these past few days, so you can give some time and energy to phone and text bank for Georgia.</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I randomly came across the following quote: </w:t>
                                                </w:r>
                                                <w:r>
                                                  <w:rPr>
                                                    <w:rFonts w:ascii="Georgia" w:eastAsia="Times New Roman" w:hAnsi="Georgia" w:cs="Arial"/>
                                                    <w:b/>
                                                    <w:bCs/>
                                                    <w:color w:val="09A3BA"/>
                                                    <w:sz w:val="18"/>
                                                    <w:szCs w:val="18"/>
                                                  </w:rPr>
                                                  <w:t>"What we have before us are some breathtaking opportunities disguised as insoluble problems.</w:t>
                                                </w:r>
                                                <w:r>
                                                  <w:rPr>
                                                    <w:rFonts w:ascii="Georgia" w:eastAsia="Times New Roman" w:hAnsi="Georgia" w:cs="Arial"/>
                                                    <w:color w:val="09A3BA"/>
                                                    <w:sz w:val="18"/>
                                                    <w:szCs w:val="18"/>
                                                  </w:rPr>
                                                  <w:t>"</w:t>
                                                </w:r>
                                                <w:r>
                                                  <w:rPr>
                                                    <w:rFonts w:ascii="Georgia" w:eastAsia="Times New Roman" w:hAnsi="Georgia" w:cs="Arial"/>
                                                    <w:color w:val="000000"/>
                                                    <w:sz w:val="18"/>
                                                    <w:szCs w:val="18"/>
                                                  </w:rPr>
                                                  <w:t xml:space="preserve"> So, I of course Googled it.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The author is John Gardner, Secretary of Health, Education and Welfare (HEW) in 1965, describing the future Great Society. In the three years that followed, he launched Medicare, was pivotal in enforcing the 1964 Civil Rights Act and presided over passage of the landmark 1965 Education Act that redefined the federal role in education, targeting funding to poor students. He also oversaw the creation of the Corporation for Public Broadcasting. Gardner resigned because he could not support the war in Vietnam and went on to found Common Cause.</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We too face “breathtaking opportunities”. One of them is our unique political situation in rural California. We need to heed Elizabeth Betancourt’s call to action to stay engaged. You can read her </w:t>
                                                </w:r>
                                                <w:hyperlink r:id="rId5" w:tgtFrame="_blank" w:history="1">
                                                  <w:r>
                                                    <w:rPr>
                                                      <w:rStyle w:val="Hyperlink"/>
                                                      <w:rFonts w:ascii="Georgia" w:eastAsia="Times New Roman" w:hAnsi="Georgia" w:cs="Arial"/>
                                                      <w:b/>
                                                      <w:bCs/>
                                                      <w:color w:val="09A3BA"/>
                                                      <w:sz w:val="18"/>
                                                      <w:szCs w:val="18"/>
                                                    </w:rPr>
                                                    <w:t>invaluable insights here</w:t>
                                                  </w:r>
                                                </w:hyperlink>
                                                <w:r>
                                                  <w:rPr>
                                                    <w:rFonts w:ascii="Georgia" w:eastAsia="Times New Roman" w:hAnsi="Georgia" w:cs="Arial"/>
                                                    <w:color w:val="000000"/>
                                                    <w:sz w:val="18"/>
                                                    <w:szCs w:val="18"/>
                                                  </w:rPr>
                                                  <w:t>.</w:t>
                                                </w:r>
                                                <w:r>
                                                  <w:rPr>
                                                    <w:rFonts w:ascii="Arial" w:eastAsia="Times New Roman" w:hAnsi="Arial" w:cs="Arial"/>
                                                    <w:b/>
                                                    <w:bCs/>
                                                    <w:color w:val="09A3BA"/>
                                                  </w:rPr>
                                                  <w:t xml:space="preserve">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Another “breathtaking opportunity” is Broadband. To bring you up to date, The California Broadband Council has approved a “California Action Plan”. It amply describes the needs and challenges … especially in rural California, but unfortunately is short on action. It </w:t>
                                                </w:r>
                                                <w:r>
                                                  <w:rPr>
                                                    <w:rFonts w:ascii="Georgia" w:eastAsia="Times New Roman" w:hAnsi="Georgia" w:cs="Arial"/>
                                                    <w:b/>
                                                    <w:bCs/>
                                                    <w:i/>
                                                    <w:iCs/>
                                                    <w:color w:val="000000"/>
                                                    <w:sz w:val="18"/>
                                                    <w:szCs w:val="18"/>
                                                  </w:rPr>
                                                  <w:t>does</w:t>
                                                </w:r>
                                                <w:r>
                                                  <w:rPr>
                                                    <w:rFonts w:ascii="Georgia" w:eastAsia="Times New Roman" w:hAnsi="Georgia" w:cs="Arial"/>
                                                    <w:color w:val="000000"/>
                                                    <w:sz w:val="18"/>
                                                    <w:szCs w:val="18"/>
                                                  </w:rPr>
                                                  <w:t xml:space="preserve"> provide an essential piece of the puzzle – a costing model, developed by the California Public Utilities Commission (CPUC), which puts the price tag at $5 to $7 billion to wire all the unserved areas of the state (depending on your definition of unserved).</w:t>
                                                </w:r>
                                                <w:r>
                                                  <w:rPr>
                                                    <w:rFonts w:ascii="Arial" w:eastAsia="Times New Roman" w:hAnsi="Arial" w:cs="Arial"/>
                                                    <w:b/>
                                                    <w:bCs/>
                                                    <w:color w:val="09A3BA"/>
                                                  </w:rPr>
                                                  <w:t xml:space="preserve">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Meanwhile, there are three bills in the legislature. </w:t>
                                                </w:r>
                                                <w:hyperlink r:id="rId6" w:tgtFrame="_blank" w:history="1">
                                                  <w:r>
                                                    <w:rPr>
                                                      <w:rStyle w:val="Hyperlink"/>
                                                      <w:rFonts w:ascii="Georgia" w:eastAsia="Times New Roman" w:hAnsi="Georgia" w:cs="Arial"/>
                                                      <w:b/>
                                                      <w:bCs/>
                                                      <w:color w:val="09A3BA"/>
                                                      <w:sz w:val="18"/>
                                                      <w:szCs w:val="18"/>
                                                    </w:rPr>
                                                    <w:t>Here is a side-by-side comparison</w:t>
                                                  </w:r>
                                                </w:hyperlink>
                                                <w:r>
                                                  <w:rPr>
                                                    <w:rFonts w:ascii="Georgia" w:eastAsia="Times New Roman" w:hAnsi="Georgia" w:cs="Arial"/>
                                                    <w:color w:val="000000"/>
                                                    <w:sz w:val="18"/>
                                                    <w:szCs w:val="18"/>
                                                  </w:rPr>
                                                  <w:t xml:space="preserve">. I would very much like to get your feedback. This is a working document. You’ll see my notes and Dean and Eleanor </w:t>
                                                </w:r>
                                                <w:proofErr w:type="spellStart"/>
                                                <w:r>
                                                  <w:rPr>
                                                    <w:rFonts w:ascii="Georgia" w:eastAsia="Times New Roman" w:hAnsi="Georgia" w:cs="Arial"/>
                                                    <w:color w:val="000000"/>
                                                    <w:sz w:val="18"/>
                                                    <w:szCs w:val="18"/>
                                                  </w:rPr>
                                                  <w:t>Rewerts</w:t>
                                                </w:r>
                                                <w:proofErr w:type="spellEnd"/>
                                                <w:r>
                                                  <w:rPr>
                                                    <w:rFonts w:ascii="Georgia" w:eastAsia="Times New Roman" w:hAnsi="Georgia" w:cs="Arial"/>
                                                    <w:color w:val="000000"/>
                                                    <w:sz w:val="18"/>
                                                    <w:szCs w:val="18"/>
                                                  </w:rPr>
                                                  <w:t>’ notes in the comments. The goal is to pull together a position paper and then make that position known to our electeds.</w:t>
                                                </w:r>
                                                <w:r>
                                                  <w:rPr>
                                                    <w:rFonts w:ascii="Arial" w:eastAsia="Times New Roman" w:hAnsi="Arial" w:cs="Arial"/>
                                                    <w:b/>
                                                    <w:bCs/>
                                                    <w:color w:val="09A3BA"/>
                                                  </w:rPr>
                                                  <w:t xml:space="preserve">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I asked Glenn Glazer to provide an update on PG&amp;E. Here is what he sent in: " </w:t>
                                                </w:r>
                                                <w:r>
                                                  <w:rPr>
                                                    <w:rFonts w:ascii="Georgia" w:eastAsia="Times New Roman" w:hAnsi="Georgia" w:cs="Arial"/>
                                                    <w:color w:val="222222"/>
                                                    <w:sz w:val="18"/>
                                                    <w:szCs w:val="18"/>
                                                  </w:rPr>
                                                  <w:t xml:space="preserve">It has been a relatively quiet quarter for PG&amp;E in that they haven't burned down any towns lately ..." </w:t>
                                                </w:r>
                                                <w:r>
                                                  <w:rPr>
                                                    <w:rFonts w:ascii="Georgia" w:eastAsia="Times New Roman" w:hAnsi="Georgia" w:cs="Arial"/>
                                                    <w:color w:val="000000"/>
                                                    <w:sz w:val="18"/>
                                                    <w:szCs w:val="18"/>
                                                  </w:rPr>
                                                  <w:t xml:space="preserve">Of course, there’s a lot more, which you can </w:t>
                                                </w:r>
                                                <w:hyperlink r:id="rId7" w:tgtFrame="_blank" w:history="1">
                                                  <w:r>
                                                    <w:rPr>
                                                      <w:rStyle w:val="Hyperlink"/>
                                                      <w:rFonts w:ascii="Georgia" w:eastAsia="Times New Roman" w:hAnsi="Georgia" w:cs="Arial"/>
                                                      <w:b/>
                                                      <w:bCs/>
                                                      <w:color w:val="09A3BA"/>
                                                      <w:sz w:val="18"/>
                                                      <w:szCs w:val="18"/>
                                                    </w:rPr>
                                                    <w:t>read here</w:t>
                                                  </w:r>
                                                </w:hyperlink>
                                                <w:r>
                                                  <w:rPr>
                                                    <w:rFonts w:ascii="Georgia" w:eastAsia="Times New Roman" w:hAnsi="Georgia" w:cs="Arial"/>
                                                    <w:color w:val="000000"/>
                                                    <w:sz w:val="18"/>
                                                    <w:szCs w:val="18"/>
                                                  </w:rPr>
                                                  <w:t xml:space="preserve">.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Phil Grosse does a great job staying in touch with our key contacts in Sacramento, especially re: Safe Drinking Water, and got a heads up that we need to </w:t>
                                                </w:r>
                                                <w:proofErr w:type="gramStart"/>
                                                <w:r>
                                                  <w:rPr>
                                                    <w:rFonts w:ascii="Georgia" w:eastAsia="Times New Roman" w:hAnsi="Georgia" w:cs="Arial"/>
                                                    <w:color w:val="000000"/>
                                                    <w:sz w:val="18"/>
                                                    <w:szCs w:val="18"/>
                                                  </w:rPr>
                                                  <w:t>re-engaged</w:t>
                                                </w:r>
                                                <w:proofErr w:type="gramEnd"/>
                                                <w:r>
                                                  <w:rPr>
                                                    <w:rFonts w:ascii="Georgia" w:eastAsia="Times New Roman" w:hAnsi="Georgia" w:cs="Arial"/>
                                                    <w:color w:val="000000"/>
                                                    <w:sz w:val="18"/>
                                                    <w:szCs w:val="18"/>
                                                  </w:rPr>
                                                  <w:t xml:space="preserve"> in this effort. He says no new big legislation is expected, but safe, reliable drinking water needs our constant attention. There’s no independent funding source and greenhouse gas funds have run low this year.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Phil brilliantly suggests we get a permit to set up a small tent in front of the state capitol where we can hold outdoor, socially distanced meetings.</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I am hoping the water Policy Discussion Group will resume its work as many water issues loom large. As always, with water, we have no shortage of “breathtaking opportunities”.</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 xml:space="preserve">Finally, registration for the Virtual January 2021 Special 1-Day Only Executive Board Meeting is open. It is a free event, but you must register to get the link and $60 DSCC membership dues must be paid to vote.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b/>
                                                    <w:bCs/>
                                                    <w:color w:val="000000"/>
                                                    <w:sz w:val="18"/>
                                                    <w:szCs w:val="18"/>
                                                  </w:rPr>
                                                  <w:t>E-Board Registration Link - </w:t>
                                                </w:r>
                                                <w:hyperlink r:id="rId8" w:tgtFrame="_blank" w:history="1">
                                                  <w:r>
                                                    <w:rPr>
                                                      <w:rStyle w:val="Hyperlink"/>
                                                      <w:rFonts w:ascii="Georgia" w:eastAsia="Times New Roman" w:hAnsi="Georgia" w:cs="Arial"/>
                                                      <w:b/>
                                                      <w:bCs/>
                                                      <w:color w:val="09A3BA"/>
                                                      <w:sz w:val="18"/>
                                                      <w:szCs w:val="18"/>
                                                    </w:rPr>
                                                    <w:t>To begin registering, please click here</w:t>
                                                  </w:r>
                                                </w:hyperlink>
                                                <w:r>
                                                  <w:rPr>
                                                    <w:rFonts w:ascii="Arial" w:eastAsia="Times New Roman" w:hAnsi="Arial" w:cs="Arial"/>
                                                    <w:b/>
                                                    <w:bCs/>
                                                    <w:color w:val="09A3BA"/>
                                                    <w:sz w:val="18"/>
                                                    <w:szCs w:val="18"/>
                                                  </w:rPr>
                                                  <w:t>.</w:t>
                                                </w:r>
                                                <w:r>
                                                  <w:rPr>
                                                    <w:rFonts w:ascii="Arial" w:eastAsia="Times New Roman" w:hAnsi="Arial" w:cs="Arial"/>
                                                    <w:b/>
                                                    <w:bCs/>
                                                    <w:color w:val="09A3BA"/>
                                                  </w:rPr>
                                                  <w:t xml:space="preserve"> </w:t>
                                                </w:r>
                                              </w:p>
                                              <w:p w:rsidR="008D7459" w:rsidRDefault="008D7459">
                                                <w:pPr>
                                                  <w:rPr>
                                                    <w:rFonts w:ascii="Arial" w:eastAsia="Times New Roman" w:hAnsi="Arial" w:cs="Arial"/>
                                                    <w:b/>
                                                    <w:bCs/>
                                                    <w:color w:val="09A3BA"/>
                                                  </w:rPr>
                                                </w:pPr>
                                                <w:r>
                                                  <w:rPr>
                                                    <w:rFonts w:ascii="Georgia" w:eastAsia="Times New Roman" w:hAnsi="Georgia" w:cs="Arial"/>
                                                    <w:i/>
                                                    <w:iCs/>
                                                    <w:color w:val="000000"/>
                                                    <w:sz w:val="18"/>
                                                    <w:szCs w:val="18"/>
                                                  </w:rPr>
                                                  <w:t>(CDP recommends using a desktop or laptop device when registering, if you are using a mobile device please switch to desktop mode).</w:t>
                                                </w:r>
                                                <w:r>
                                                  <w:rPr>
                                                    <w:rFonts w:ascii="Arial" w:eastAsia="Times New Roman" w:hAnsi="Arial" w:cs="Arial"/>
                                                    <w:b/>
                                                    <w:bCs/>
                                                    <w:color w:val="09A3BA"/>
                                                  </w:rPr>
                                                  <w:t xml:space="preserve">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b/>
                                                    <w:bCs/>
                                                    <w:color w:val="000000"/>
                                                    <w:sz w:val="18"/>
                                                    <w:szCs w:val="18"/>
                                                  </w:rPr>
                                                  <w:t>Observer Registration Link</w:t>
                                                </w:r>
                                                <w:r>
                                                  <w:rPr>
                                                    <w:rFonts w:ascii="Georgia" w:eastAsia="Times New Roman" w:hAnsi="Georgia" w:cs="Arial"/>
                                                    <w:color w:val="000000"/>
                                                    <w:sz w:val="18"/>
                                                    <w:szCs w:val="18"/>
                                                  </w:rPr>
                                                  <w:t xml:space="preserve"> - </w:t>
                                                </w:r>
                                                <w:hyperlink r:id="rId9" w:tgtFrame="_blank" w:history="1">
                                                  <w:r>
                                                    <w:rPr>
                                                      <w:rStyle w:val="Hyperlink"/>
                                                      <w:rFonts w:ascii="Georgia" w:eastAsia="Times New Roman" w:hAnsi="Georgia" w:cs="Arial"/>
                                                      <w:color w:val="09A3BA"/>
                                                      <w:sz w:val="18"/>
                                                      <w:szCs w:val="18"/>
                                                    </w:rPr>
                                                    <w:t>To begin registering, please click here.</w:t>
                                                  </w:r>
                                                </w:hyperlink>
                                                <w:r>
                                                  <w:rPr>
                                                    <w:rFonts w:ascii="Arial" w:eastAsia="Times New Roman" w:hAnsi="Arial" w:cs="Arial"/>
                                                    <w:b/>
                                                    <w:bCs/>
                                                    <w:color w:val="09A3BA"/>
                                                  </w:rPr>
                                                  <w:t xml:space="preserve"> </w:t>
                                                </w: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(Non-E-Board Member Registration – Observers will receive a streaming link to view the meeting live)</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Tahoma" w:eastAsia="Times New Roman" w:hAnsi="Tahoma" w:cs="Tahoma"/>
                                                    <w:color w:val="000000"/>
                                                    <w:sz w:val="18"/>
                                                    <w:szCs w:val="18"/>
                                                  </w:rPr>
                                                  <w:t>﻿</w:t>
                                                </w:r>
                                                <w:r>
                                                  <w:rPr>
                                                    <w:rFonts w:ascii="Georgia" w:eastAsia="Times New Roman" w:hAnsi="Georgia" w:cs="Arial"/>
                                                    <w:color w:val="000000"/>
                                                    <w:sz w:val="18"/>
                                                    <w:szCs w:val="18"/>
                                                  </w:rPr>
                                                  <w:t>Pandemics know no calendar, but I cannot think of a more hope-filled upcoming date than December 31 when we will formally turn the page from 2020. We still have a long row to hoe, but it will be better. And I predict plenty of bubbly will flow on January 20</w:t>
                                                </w:r>
                                                <w:proofErr w:type="spellStart"/>
                                                <w:r>
                                                  <w:rPr>
                                                    <w:rFonts w:ascii="Georgia" w:eastAsia="Times New Roman" w:hAnsi="Georgia" w:cs="Arial"/>
                                                    <w:color w:val="000000"/>
                                                    <w:position w:val="6"/>
                                                    <w:sz w:val="20"/>
                                                    <w:szCs w:val="20"/>
                                                    <w:vertAlign w:val="superscript"/>
                                                  </w:rPr>
                                                  <w:t>th</w:t>
                                                </w:r>
                                                <w:proofErr w:type="spellEnd"/>
                                                <w:r>
                                                  <w:rPr>
                                                    <w:rFonts w:ascii="Georgia" w:eastAsia="Times New Roman" w:hAnsi="Georgia" w:cs="Arial"/>
                                                    <w:color w:val="000000"/>
                                                    <w:sz w:val="18"/>
                                                    <w:szCs w:val="18"/>
                                                  </w:rPr>
                                                  <w:t xml:space="preserve"> as we virtually celebrate the inauguration. </w:t>
                                                </w:r>
                                              </w:p>
                                              <w:p w:rsidR="008D7459" w:rsidRDefault="008D7459">
                                                <w:pPr>
                                                  <w:rPr>
                                                    <w:rFonts w:ascii="Arial" w:eastAsia="Times New Roman" w:hAnsi="Arial" w:cs="Arial"/>
                                                    <w:b/>
                                                    <w:bCs/>
                                                    <w:color w:val="09A3BA"/>
                                                  </w:rPr>
                                                </w:pPr>
                                              </w:p>
                                              <w:p w:rsidR="008D7459" w:rsidRDefault="008D7459">
                                                <w:pPr>
                                                  <w:rPr>
                                                    <w:rFonts w:ascii="Arial" w:eastAsia="Times New Roman" w:hAnsi="Arial" w:cs="Arial"/>
                                                    <w:b/>
                                                    <w:bCs/>
                                                    <w:color w:val="09A3BA"/>
                                                  </w:rPr>
                                                </w:pPr>
                                                <w:r>
                                                  <w:rPr>
                                                    <w:rFonts w:ascii="Georgia" w:eastAsia="Times New Roman" w:hAnsi="Georgia" w:cs="Arial"/>
                                                    <w:color w:val="000000"/>
                                                    <w:sz w:val="18"/>
                                                    <w:szCs w:val="18"/>
                                                  </w:rPr>
                                                  <w:t>With all my very best, Joy </w:t>
                                                </w:r>
                                              </w:p>
                                            </w:tc>
                                          </w:tr>
                                        </w:tbl>
                                        <w:p w:rsidR="008D7459" w:rsidRDefault="008D7459">
                                          <w:pPr>
                                            <w:rPr>
                                              <w:rFonts w:eastAsia="Times New Roman"/>
                                              <w:sz w:val="20"/>
                                              <w:szCs w:val="20"/>
                                            </w:rPr>
                                          </w:pPr>
                                        </w:p>
                                      </w:tc>
                                    </w:tr>
                                  </w:tbl>
                                  <w:p w:rsidR="008D7459" w:rsidRDefault="008D745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D745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D7459" w:rsidTr="008D7459">
                                            <w:trPr>
                                              <w:trHeight w:val="20"/>
                                            </w:trPr>
                                            <w:tc>
                                              <w:tcPr>
                                                <w:tcW w:w="0" w:type="auto"/>
                                                <w:tcMar>
                                                  <w:top w:w="150" w:type="dxa"/>
                                                  <w:left w:w="300" w:type="dxa"/>
                                                  <w:bottom w:w="150" w:type="dxa"/>
                                                  <w:right w:w="300" w:type="dxa"/>
                                                </w:tcMar>
                                              </w:tcPr>
                                              <w:p w:rsidR="008D7459" w:rsidRDefault="008D7459">
                                                <w:pPr>
                                                  <w:rPr>
                                                    <w:rFonts w:ascii="Arial" w:eastAsia="Times New Roman" w:hAnsi="Arial" w:cs="Arial"/>
                                                    <w:b/>
                                                    <w:bCs/>
                                                    <w:color w:val="09A3BA"/>
                                                  </w:rPr>
                                                </w:pPr>
                                              </w:p>
                                            </w:tc>
                                          </w:tr>
                                        </w:tbl>
                                        <w:p w:rsidR="008D7459" w:rsidRDefault="008D7459">
                                          <w:pPr>
                                            <w:rPr>
                                              <w:rFonts w:eastAsia="Times New Roman"/>
                                              <w:sz w:val="20"/>
                                              <w:szCs w:val="20"/>
                                            </w:rPr>
                                          </w:pPr>
                                        </w:p>
                                      </w:tc>
                                    </w:tr>
                                  </w:tbl>
                                  <w:p w:rsidR="008D7459" w:rsidRDefault="008D745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D7459">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8D7459">
                                            <w:tc>
                                              <w:tcPr>
                                                <w:tcW w:w="0" w:type="auto"/>
                                                <w:tcMar>
                                                  <w:top w:w="150" w:type="dxa"/>
                                                  <w:left w:w="300" w:type="dxa"/>
                                                  <w:bottom w:w="150" w:type="dxa"/>
                                                  <w:right w:w="300" w:type="dxa"/>
                                                </w:tcMar>
                                                <w:hideMark/>
                                              </w:tcPr>
                                              <w:p w:rsidR="008D7459" w:rsidRDefault="008D7459">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10" w:history="1">
                                                  <w:r>
                                                    <w:rPr>
                                                      <w:rStyle w:val="Hyperlink"/>
                                                      <w:rFonts w:ascii="Arial" w:eastAsia="Times New Roman" w:hAnsi="Arial" w:cs="Arial"/>
                                                      <w:sz w:val="18"/>
                                                      <w:szCs w:val="18"/>
                                                    </w:rPr>
                                                    <w:t>joy@ironhorsevineyards.com</w:t>
                                                  </w:r>
                                                </w:hyperlink>
                                              </w:p>
                                              <w:p w:rsidR="008D7459" w:rsidRDefault="008D7459">
                                                <w:pPr>
                                                  <w:jc w:val="center"/>
                                                  <w:rPr>
                                                    <w:rFonts w:ascii="Arial" w:eastAsia="Times New Roman" w:hAnsi="Arial" w:cs="Arial"/>
                                                    <w:color w:val="FFFFFF"/>
                                                    <w:sz w:val="18"/>
                                                    <w:szCs w:val="18"/>
                                                  </w:rPr>
                                                </w:pPr>
                                                <w:hyperlink r:id="rId11" w:history="1">
                                                  <w:r>
                                                    <w:rPr>
                                                      <w:rStyle w:val="Hyperlink"/>
                                                      <w:rFonts w:ascii="Arial" w:eastAsia="Times New Roman" w:hAnsi="Arial" w:cs="Arial"/>
                                                      <w:sz w:val="18"/>
                                                      <w:szCs w:val="18"/>
                                                    </w:rPr>
                                                    <w:t>www.cdpruralcaucus.org</w:t>
                                                  </w:r>
                                                </w:hyperlink>
                                              </w:p>
                                            </w:tc>
                                          </w:tr>
                                        </w:tbl>
                                        <w:p w:rsidR="008D7459" w:rsidRDefault="008D7459">
                                          <w:pPr>
                                            <w:rPr>
                                              <w:rFonts w:eastAsia="Times New Roman"/>
                                              <w:sz w:val="20"/>
                                              <w:szCs w:val="20"/>
                                            </w:rPr>
                                          </w:pPr>
                                        </w:p>
                                      </w:tc>
                                    </w:tr>
                                  </w:tbl>
                                  <w:p w:rsidR="008D7459" w:rsidRDefault="008D7459">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D7459">
                                      <w:trPr>
                                        <w:jc w:val="center"/>
                                      </w:trPr>
                                      <w:tc>
                                        <w:tcPr>
                                          <w:tcW w:w="5000" w:type="pct"/>
                                          <w:shd w:val="clear" w:color="auto" w:fill="403F42"/>
                                          <w:hideMark/>
                                        </w:tcPr>
                                        <w:p w:rsidR="008D7459" w:rsidRDefault="008D7459">
                                          <w:pPr>
                                            <w:rPr>
                                              <w:rFonts w:eastAsia="Times New Roman"/>
                                              <w:sz w:val="20"/>
                                              <w:szCs w:val="20"/>
                                            </w:rPr>
                                          </w:pPr>
                                        </w:p>
                                      </w:tc>
                                    </w:tr>
                                  </w:tbl>
                                  <w:p w:rsidR="008D7459" w:rsidRDefault="008D7459">
                                    <w:pPr>
                                      <w:jc w:val="center"/>
                                      <w:rPr>
                                        <w:rFonts w:eastAsia="Times New Roman"/>
                                        <w:sz w:val="20"/>
                                        <w:szCs w:val="20"/>
                                      </w:rPr>
                                    </w:pPr>
                                  </w:p>
                                </w:tc>
                              </w:tr>
                            </w:tbl>
                            <w:p w:rsidR="008D7459" w:rsidRDefault="008D7459">
                              <w:pPr>
                                <w:jc w:val="center"/>
                                <w:rPr>
                                  <w:rFonts w:eastAsia="Times New Roman"/>
                                  <w:sz w:val="20"/>
                                  <w:szCs w:val="20"/>
                                </w:rPr>
                              </w:pPr>
                            </w:p>
                          </w:tc>
                        </w:tr>
                      </w:tbl>
                      <w:p w:rsidR="008D7459" w:rsidRDefault="008D7459">
                        <w:pPr>
                          <w:jc w:val="center"/>
                          <w:rPr>
                            <w:rFonts w:eastAsia="Times New Roman"/>
                            <w:sz w:val="20"/>
                            <w:szCs w:val="20"/>
                          </w:rPr>
                        </w:pPr>
                      </w:p>
                    </w:tc>
                  </w:tr>
                </w:tbl>
                <w:p w:rsidR="008D7459" w:rsidRDefault="008D7459">
                  <w:pPr>
                    <w:jc w:val="center"/>
                    <w:rPr>
                      <w:rFonts w:eastAsia="Times New Roman"/>
                      <w:sz w:val="20"/>
                      <w:szCs w:val="20"/>
                    </w:rPr>
                  </w:pPr>
                </w:p>
              </w:tc>
            </w:tr>
          </w:tbl>
          <w:p w:rsidR="008D7459" w:rsidRDefault="008D7459">
            <w:pPr>
              <w:jc w:val="center"/>
              <w:rPr>
                <w:rFonts w:eastAsia="Times New Roman"/>
                <w:sz w:val="20"/>
                <w:szCs w:val="20"/>
              </w:rPr>
            </w:pPr>
          </w:p>
        </w:tc>
      </w:tr>
      <w:tr w:rsidR="008D7459" w:rsidTr="008D7459">
        <w:tc>
          <w:tcPr>
            <w:tcW w:w="0" w:type="auto"/>
            <w:vAlign w:val="center"/>
            <w:hideMark/>
          </w:tcPr>
          <w:p w:rsidR="008D7459" w:rsidRDefault="008D7459">
            <w:pPr>
              <w:rPr>
                <w:rFonts w:eastAsia="Times New Roman"/>
                <w:sz w:val="20"/>
                <w:szCs w:val="20"/>
              </w:rPr>
            </w:pPr>
          </w:p>
        </w:tc>
      </w:tr>
    </w:tbl>
    <w:p w:rsidR="008D7459" w:rsidRDefault="008D7459" w:rsidP="008D7459">
      <w:pPr>
        <w:rPr>
          <w:rFonts w:eastAsia="Times New Roman"/>
          <w:vanish/>
        </w:rPr>
      </w:pPr>
    </w:p>
    <w:p w:rsidR="005746A2" w:rsidRDefault="008D7459"/>
    <w:sectPr w:rsidR="005746A2" w:rsidSect="008D7459">
      <w:pgSz w:w="12240" w:h="20160" w:code="5"/>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59"/>
    <w:rsid w:val="005A7891"/>
    <w:rsid w:val="008D7459"/>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EA0C-7BF2-483B-B7D5-7EF83FD8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459"/>
    <w:rPr>
      <w:color w:val="0000FF"/>
      <w:u w:val="single"/>
    </w:rPr>
  </w:style>
  <w:style w:type="character" w:customStyle="1" w:styleId="footer-column">
    <w:name w:val="footer-column"/>
    <w:basedOn w:val="DefaultParagraphFont"/>
    <w:rsid w:val="008D7459"/>
  </w:style>
  <w:style w:type="character" w:customStyle="1" w:styleId="footer-mobile-hidden">
    <w:name w:val="footer-mobile-hidden"/>
    <w:basedOn w:val="DefaultParagraphFont"/>
    <w:rsid w:val="008D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QWq04N9N9umLq8Lch2rcGovrM5CcSe2URKfAINrxv_KW5oYY2HEf06BpS-gQV629AhOzfzt0UtgddDhyYWNdUX6Yw_KwcjACWhggnH-VY98cDaa7IjIc3uFD4U7E_Gje_MaKKmvcjP3uPpEvbr61qGOFj-FF6mrkHl7xJoYHesp0U0xFXV6MX2TfbtQ6kp1-hivi0wXYgbqnVkV0itnNJkPksVoOwpD9uiLn71NKBwG9iRhZiU52QSyHPVlrtIHkAP8yhdMkCeDjxVnoSy3-qA==&amp;c=khcWC-849PsvipaOmJNPFKFIvBAFVLwooFmOJsomglqqsoCTP7CO8w==&amp;ch=-qrFp7x1T-C7hcB9C_n4cHHpc197hBwMG2BtWJ7HvaBjbCADFopLT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QWq04N9N9umLq8Lch2rcGovrM5CcSe2URKfAINrxv_KW5oYY2HEf06BpS-gQV629cDqiAtedX5K5IsTSAZVPGCARnmeqcC6MAZiEZe35jEzq0qIALmzkjO4waZbTcQEN828GYlInB0tqDWSLiatwKXgEySIBHym9nQCylkMdt3gZ2pBne0e43WKjzRBCd9tOx8DrgD3FObC_mNmD5mjpzCwc0pgsYN4hIJ8bQBWnyI4=&amp;c=khcWC-849PsvipaOmJNPFKFIvBAFVLwooFmOJsomglqqsoCTP7CO8w==&amp;ch=-qrFp7x1T-C7hcB9C_n4cHHpc197hBwMG2BtWJ7HvaBjbCADFopLT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QWq04N9N9umLq8Lch2rcGovrM5CcSe2URKfAINrxv_KW5oYY2HEf06BpS-gQV629_SE6Ue9JfIaAkT-6h7JwOpMtvBsThtcP25gffOVUN-T2M3mSFjb3U1zlCYWh8XUptMkMRHa2AEgY5ttyE3QybpRtuMhC_Prrq-MvrgC1yIKirexdZp4YTqzcTPEbETcG2opdPiJjWorx-pBGxXNQ1QhsG6_pLZt1Cb9e9gm2X8o=&amp;c=khcWC-849PsvipaOmJNPFKFIvBAFVLwooFmOJsomglqqsoCTP7CO8w==&amp;ch=-qrFp7x1T-C7hcB9C_n4cHHpc197hBwMG2BtWJ7HvaBjbCADFopLTg==" TargetMode="External"/><Relationship Id="rId11" Type="http://schemas.openxmlformats.org/officeDocument/2006/relationships/hyperlink" Target="http://www.cdpruralcaucus.org" TargetMode="External"/><Relationship Id="rId5" Type="http://schemas.openxmlformats.org/officeDocument/2006/relationships/hyperlink" Target="http://r20.rs6.net/tn.jsp?f=001QWq04N9N9umLq8Lch2rcGovrM5CcSe2URKfAINrxv_KW5oYY2HEf06BpS-gQV629LND1KD71G6bVy61E2jAttowCX_WQiBLRnnJkQMSYBG-C5pHmTNV-dviiWPQtNcb4TCBb7eVRXr1wGJzDHT-XK90Pd9c3EntOAkZtCeZL6tb8V3p6k9xoGqsrL_3_SC6IOVhcGXIv5QR-y7-gCtYaMHv4ichria5Ue61AHOVR0pA=&amp;c=khcWC-849PsvipaOmJNPFKFIvBAFVLwooFmOJsomglqqsoCTP7CO8w==&amp;ch=-qrFp7x1T-C7hcB9C_n4cHHpc197hBwMG2BtWJ7HvaBjbCADFopLTg==" TargetMode="External"/><Relationship Id="rId10" Type="http://schemas.openxmlformats.org/officeDocument/2006/relationships/hyperlink" Target="mailto:joy@ironhorsevineyards.com" TargetMode="External"/><Relationship Id="rId4" Type="http://schemas.openxmlformats.org/officeDocument/2006/relationships/image" Target="media/image1.jpeg"/><Relationship Id="rId9" Type="http://schemas.openxmlformats.org/officeDocument/2006/relationships/hyperlink" Target="http://r20.rs6.net/tn.jsp?f=001QWq04N9N9umLq8Lch2rcGovrM5CcSe2URKfAINrxv_KW5oYY2HEf06BpS-gQV629bcAFcgL9QwqO3ehUFOzXOyXBiGjx_01nDZ3d52oX7GS8Tx667zcBcQPx2PPJypch5jQWNa-7kdqUkfFIXwWM_PExZHoPmBKUXe5UhtKoiK7Xn8q7WPrYiM0v0cBP7OPpyFDxiaspmeBClhqsi4zMc1V9htpG7twR1GW5Ra-B0tLc4hHM16wwxzLNR3Hig2CrX2QdL9qDVsfi0xs-E9-lK7iKOZ-j841P&amp;c=khcWC-849PsvipaOmJNPFKFIvBAFVLwooFmOJsomglqqsoCTP7CO8w==&amp;ch=-qrFp7x1T-C7hcB9C_n4cHHpc197hBwMG2BtWJ7HvaBjbCADFopL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2020-12-31T20:23:00Z</dcterms:created>
  <dcterms:modified xsi:type="dcterms:W3CDTF">2020-12-31T20:32:00Z</dcterms:modified>
</cp:coreProperties>
</file>